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EF1" w:rsidRDefault="003F5EF1">
      <w:pPr>
        <w:pStyle w:val="SpecNote"/>
      </w:pPr>
      <w:r>
        <w:t>SPEC NOTE:  This Section specifies flat folding partitions furnished as single panels, hinged pairs, or continuously hinged panel trains. This Section does not include portable, demountable, accordion or retractable coiling partitions.</w:t>
      </w:r>
    </w:p>
    <w:p w:rsidR="003F5EF1" w:rsidRDefault="003F5EF1">
      <w:pPr>
        <w:pStyle w:val="SpecNoteEnv"/>
      </w:pPr>
      <w:r>
        <w:t>SPEC NOTE ENVIRONMENT:  This Section specifies environmentally responsible material choices, including recycling and reuse options, and generally available disposal options. The inclusion of recycled content provides efficient use of natural resources and diverts materials from the waste stream.</w:t>
      </w:r>
    </w:p>
    <w:p w:rsidR="003F5EF1" w:rsidRDefault="003F5EF1">
      <w:pPr>
        <w:pStyle w:val="SpecNote"/>
      </w:pPr>
      <w:r>
        <w:t>SPEC NOTE:  Materials for accoustic wall and ceiling baffles are specified in the appropriate section.</w:t>
      </w:r>
    </w:p>
    <w:p w:rsidR="003F5EF1" w:rsidRDefault="003F5EF1">
      <w:pPr>
        <w:pStyle w:val="Heading1"/>
      </w:pPr>
      <w:r>
        <w:t>General</w:t>
      </w:r>
    </w:p>
    <w:p w:rsidR="003F5EF1" w:rsidRDefault="003F5EF1">
      <w:pPr>
        <w:pStyle w:val="Heading2"/>
      </w:pPr>
      <w:r>
        <w:rPr>
          <w:lang w:val="en-CA"/>
        </w:rPr>
        <w:t>RELATED SECTIONS</w:t>
      </w:r>
    </w:p>
    <w:p w:rsidR="003F5EF1" w:rsidRDefault="00976BBB">
      <w:pPr>
        <w:pStyle w:val="Heading3"/>
      </w:pPr>
      <w:r>
        <w:t>Metal Stud Partitions.</w:t>
      </w:r>
    </w:p>
    <w:p w:rsidR="003F5EF1" w:rsidRDefault="003F5EF1">
      <w:pPr>
        <w:pStyle w:val="Heading2"/>
      </w:pPr>
      <w:r>
        <w:rPr>
          <w:lang w:val="en-CA"/>
        </w:rPr>
        <w:t>REFERENCES</w:t>
      </w:r>
    </w:p>
    <w:p w:rsidR="003F5EF1" w:rsidRDefault="003F5EF1">
      <w:pPr>
        <w:pStyle w:val="SpecNote"/>
      </w:pPr>
      <w:r>
        <w:t>SPEC NOTE:  Edit the following paragraphs to suit specific Project.</w:t>
      </w:r>
    </w:p>
    <w:p w:rsidR="003F5EF1" w:rsidRDefault="003F5EF1">
      <w:pPr>
        <w:pStyle w:val="Heading3"/>
      </w:pPr>
      <w:r>
        <w:t>American Society for Testing and Materials (ASTM)</w:t>
      </w:r>
    </w:p>
    <w:p w:rsidR="003F5EF1" w:rsidRDefault="003F5EF1">
      <w:pPr>
        <w:pStyle w:val="Heading4"/>
      </w:pPr>
      <w:r>
        <w:rPr>
          <w:szCs w:val="22"/>
          <w:lang w:val="en-CA"/>
        </w:rPr>
        <w:t>ASTM E90-[99], Standard Test Method for Laboratory Measurement of Airborne-Sound Transmission Loss of Building Partitions and Elements.</w:t>
      </w:r>
    </w:p>
    <w:p w:rsidR="003F5EF1" w:rsidRDefault="003F5EF1">
      <w:pPr>
        <w:pStyle w:val="Heading4"/>
      </w:pPr>
      <w:r>
        <w:t>ASTM E336-[97], Standard Test Method for Measurement of Airborne Sound Insulation in Buildings.</w:t>
      </w:r>
    </w:p>
    <w:p w:rsidR="003F5EF1" w:rsidRDefault="003F5EF1">
      <w:pPr>
        <w:pStyle w:val="Heading3"/>
      </w:pPr>
      <w:r>
        <w:rPr>
          <w:szCs w:val="22"/>
          <w:lang w:val="en-CA"/>
        </w:rPr>
        <w:t>Canadian General Standards Board (CGSB)</w:t>
      </w:r>
    </w:p>
    <w:p w:rsidR="003F5EF1" w:rsidRDefault="003F5EF1">
      <w:pPr>
        <w:pStyle w:val="Heading4"/>
      </w:pPr>
      <w:r>
        <w:rPr>
          <w:szCs w:val="22"/>
          <w:lang w:val="en-CA"/>
        </w:rPr>
        <w:t>CAN/CGSB-11.3-[M87], Hardboard.</w:t>
      </w:r>
    </w:p>
    <w:p w:rsidR="003F5EF1" w:rsidRDefault="003F5EF1">
      <w:pPr>
        <w:pStyle w:val="Heading3"/>
      </w:pPr>
      <w:r>
        <w:rPr>
          <w:szCs w:val="22"/>
          <w:lang w:val="en-CA"/>
        </w:rPr>
        <w:t>Canadian Standards Association (CSA)</w:t>
      </w:r>
    </w:p>
    <w:p w:rsidR="003F5EF1" w:rsidRDefault="003F5EF1">
      <w:pPr>
        <w:pStyle w:val="Heading4"/>
      </w:pPr>
      <w:r>
        <w:rPr>
          <w:szCs w:val="22"/>
          <w:lang w:val="en-CA"/>
        </w:rPr>
        <w:t>CSA O115-[M1982(R2001)], Hardwood and Decorative Plywood.</w:t>
      </w:r>
    </w:p>
    <w:p w:rsidR="003F5EF1" w:rsidRDefault="003F5EF1">
      <w:pPr>
        <w:pStyle w:val="Heading4"/>
      </w:pPr>
      <w:r>
        <w:t>CSA O151-[M1978(R1998)], Canadian Softwood Plywood.</w:t>
      </w:r>
    </w:p>
    <w:p w:rsidR="003F5EF1" w:rsidRDefault="003F5EF1">
      <w:pPr>
        <w:pStyle w:val="Heading3"/>
      </w:pPr>
      <w:r>
        <w:rPr>
          <w:szCs w:val="22"/>
          <w:lang w:val="en-CA"/>
        </w:rPr>
        <w:t>Underwriters Laboratories' of Canada (ULC)</w:t>
      </w:r>
    </w:p>
    <w:p w:rsidR="003F5EF1" w:rsidRDefault="003F5EF1">
      <w:pPr>
        <w:pStyle w:val="Heading4"/>
      </w:pPr>
      <w:r>
        <w:rPr>
          <w:szCs w:val="22"/>
          <w:lang w:val="en-CA"/>
        </w:rPr>
        <w:t>CAN/ULC-S102-[1998R2000], Surface Burning Characteristics of Building Materials and Assemblies.</w:t>
      </w:r>
    </w:p>
    <w:p w:rsidR="003F5EF1" w:rsidRDefault="003F5EF1">
      <w:pPr>
        <w:pStyle w:val="Heading2"/>
      </w:pPr>
      <w:r>
        <w:rPr>
          <w:lang w:val="en-CA"/>
        </w:rPr>
        <w:t>DESIGN REQUIREMENTS</w:t>
      </w:r>
    </w:p>
    <w:p w:rsidR="003F5EF1" w:rsidRDefault="003F5EF1">
      <w:pPr>
        <w:pStyle w:val="SpecNote"/>
      </w:pPr>
      <w:r>
        <w:t>SPEC NOTE:  Use the STC and fire hazard classification requirements only when required by partition application and codes.</w:t>
      </w:r>
    </w:p>
    <w:p w:rsidR="003F5EF1" w:rsidRDefault="003F5EF1">
      <w:pPr>
        <w:pStyle w:val="Heading3"/>
      </w:pPr>
      <w:r>
        <w:t xml:space="preserve">Design and fabricate folding partitions with minimum STC of </w:t>
      </w:r>
      <w:r w:rsidR="00976BBB">
        <w:t xml:space="preserve">50 </w:t>
      </w:r>
      <w:r>
        <w:t xml:space="preserve"> tested to ASTM E90.</w:t>
      </w:r>
    </w:p>
    <w:p w:rsidR="003F5EF1" w:rsidRDefault="003F5EF1">
      <w:pPr>
        <w:pStyle w:val="Heading3"/>
      </w:pPr>
      <w:r>
        <w:t>Use vinyl fabric for covering with maximum</w:t>
      </w:r>
    </w:p>
    <w:p w:rsidR="003F5EF1" w:rsidRDefault="003F5EF1">
      <w:pPr>
        <w:pStyle w:val="Heading4"/>
      </w:pPr>
      <w:r>
        <w:rPr>
          <w:szCs w:val="22"/>
          <w:lang w:val="en-CA"/>
        </w:rPr>
        <w:t>flame spread -25;</w:t>
      </w:r>
    </w:p>
    <w:p w:rsidR="003F5EF1" w:rsidRDefault="003F5EF1">
      <w:pPr>
        <w:pStyle w:val="Heading4"/>
      </w:pPr>
      <w:r>
        <w:t>fuel contributed -35;</w:t>
      </w:r>
    </w:p>
    <w:p w:rsidR="003F5EF1" w:rsidRDefault="00976BBB">
      <w:pPr>
        <w:pStyle w:val="Heading4"/>
      </w:pPr>
      <w:r>
        <w:t>smoke developed -</w:t>
      </w:r>
      <w:r w:rsidR="003F5EF1">
        <w:t>50; when tested to CAN/ULC-S102.</w:t>
      </w:r>
    </w:p>
    <w:p w:rsidR="003F5EF1" w:rsidRDefault="003F5EF1">
      <w:pPr>
        <w:pStyle w:val="Heading2"/>
      </w:pPr>
      <w:r>
        <w:rPr>
          <w:lang w:val="en-CA"/>
        </w:rPr>
        <w:t>SHOP DRAWINGS</w:t>
      </w:r>
    </w:p>
    <w:p w:rsidR="003F5EF1" w:rsidRDefault="003F5EF1">
      <w:pPr>
        <w:pStyle w:val="Heading3"/>
      </w:pPr>
      <w:r>
        <w:rPr>
          <w:szCs w:val="22"/>
          <w:lang w:val="en-CA"/>
        </w:rPr>
        <w:t>Submit shop drawings.</w:t>
      </w:r>
    </w:p>
    <w:p w:rsidR="003F5EF1" w:rsidRDefault="003F5EF1">
      <w:pPr>
        <w:pStyle w:val="SpecNote"/>
      </w:pPr>
      <w:r>
        <w:t>SPEC NOTE:  Include reference to electrical connections only when electrically operated folding partitions specified.</w:t>
      </w:r>
    </w:p>
    <w:p w:rsidR="003F5EF1" w:rsidRDefault="003F5EF1">
      <w:pPr>
        <w:pStyle w:val="Heading3"/>
      </w:pPr>
      <w:r>
        <w:t xml:space="preserve">Indicate installation requirements including dimensions, head and jamb conditions, track layout, stacking arrangement, switching, hardware, finish and </w:t>
      </w:r>
      <w:proofErr w:type="spellStart"/>
      <w:r>
        <w:t>colour</w:t>
      </w:r>
      <w:proofErr w:type="spellEnd"/>
      <w:r>
        <w:t>, operating mechanism and location.</w:t>
      </w:r>
    </w:p>
    <w:p w:rsidR="003F5EF1" w:rsidRDefault="003F5EF1">
      <w:pPr>
        <w:pStyle w:val="Heading2"/>
      </w:pPr>
      <w:r>
        <w:rPr>
          <w:lang w:val="en-CA"/>
        </w:rPr>
        <w:t>CLOSEOUT SUBMITTALS</w:t>
      </w:r>
    </w:p>
    <w:p w:rsidR="003F5EF1" w:rsidRDefault="003F5EF1">
      <w:pPr>
        <w:pStyle w:val="Heading3"/>
      </w:pPr>
      <w:r>
        <w:rPr>
          <w:szCs w:val="22"/>
          <w:lang w:val="en-CA"/>
        </w:rPr>
        <w:t>Provide operation and maintenance data for folding partitions</w:t>
      </w:r>
      <w:r w:rsidR="00976BBB">
        <w:rPr>
          <w:szCs w:val="22"/>
          <w:lang w:val="en-CA"/>
        </w:rPr>
        <w:t xml:space="preserve"> and</w:t>
      </w:r>
      <w:r>
        <w:rPr>
          <w:szCs w:val="22"/>
          <w:lang w:val="en-CA"/>
        </w:rPr>
        <w:t xml:space="preserve"> hardware.</w:t>
      </w:r>
    </w:p>
    <w:p w:rsidR="003F5EF1" w:rsidRDefault="003F5EF1">
      <w:pPr>
        <w:pStyle w:val="Heading2"/>
      </w:pPr>
      <w:r>
        <w:rPr>
          <w:lang w:val="en-CA"/>
        </w:rPr>
        <w:t>WASTE MANAGEMENT AND DISPOSAL</w:t>
      </w:r>
    </w:p>
    <w:p w:rsidR="003F5EF1" w:rsidRDefault="003F5EF1">
      <w:pPr>
        <w:pStyle w:val="SpecNoteEnv"/>
      </w:pPr>
      <w:r>
        <w:t>SPEC NOTE ENVIRONMENT:  Since emptied containers retain product residues (vapours, liquids or solids) extreme care should be exercised in their handling.  Keep out of reach of children.</w:t>
      </w:r>
    </w:p>
    <w:p w:rsidR="003F5EF1" w:rsidRDefault="003F5EF1">
      <w:pPr>
        <w:pStyle w:val="SpecNoteEnv"/>
      </w:pPr>
      <w:r>
        <w:t>SPEC NOTE ENVIRONMENT:  The disposal of packaging waste into landfill site demonstrates an inefficient use of natural resources and consumes valuable landfill space.</w:t>
      </w:r>
    </w:p>
    <w:p w:rsidR="003F5EF1" w:rsidRDefault="003F5EF1">
      <w:pPr>
        <w:pStyle w:val="Heading3"/>
      </w:pPr>
      <w:r>
        <w:t>Separate and recycle waste materials.</w:t>
      </w:r>
    </w:p>
    <w:p w:rsidR="003F5EF1" w:rsidRDefault="003F5EF1">
      <w:pPr>
        <w:pStyle w:val="Heading3"/>
      </w:pPr>
      <w:r>
        <w:t>Remove from site and dispose of all packaging materials at appropriate recycling facilities.</w:t>
      </w:r>
    </w:p>
    <w:p w:rsidR="003F5EF1" w:rsidRDefault="003F5EF1">
      <w:pPr>
        <w:pStyle w:val="Heading3"/>
      </w:pPr>
      <w:r>
        <w:lastRenderedPageBreak/>
        <w:t>Collect and separate for disposal paper</w:t>
      </w:r>
      <w:r w:rsidR="00976BBB">
        <w:t>,</w:t>
      </w:r>
      <w:r>
        <w:t xml:space="preserve"> plastic</w:t>
      </w:r>
      <w:r w:rsidR="00976BBB">
        <w:t>,</w:t>
      </w:r>
      <w:r>
        <w:t xml:space="preserve"> </w:t>
      </w:r>
      <w:r w:rsidR="00976BBB">
        <w:t>polystyrene,</w:t>
      </w:r>
      <w:r>
        <w:t xml:space="preserve"> corrugated cardboard</w:t>
      </w:r>
      <w:r w:rsidR="00976BBB">
        <w:t xml:space="preserve"> and</w:t>
      </w:r>
      <w:r>
        <w:t xml:space="preserve"> packaging material in appropriate on-site bins for recycling in accordance with Waste Management Plan.</w:t>
      </w:r>
    </w:p>
    <w:p w:rsidR="003F5EF1" w:rsidRDefault="003F5EF1">
      <w:pPr>
        <w:pStyle w:val="Heading3"/>
      </w:pPr>
      <w:r>
        <w:t>Divert unused wood and materials from landfill to recycling facility.</w:t>
      </w:r>
    </w:p>
    <w:p w:rsidR="003F5EF1" w:rsidRDefault="003F5EF1">
      <w:pPr>
        <w:pStyle w:val="Heading3"/>
      </w:pPr>
      <w:r>
        <w:t>Fold up metal banding, flatten and place in designated area for recycling.</w:t>
      </w:r>
    </w:p>
    <w:p w:rsidR="003F5EF1" w:rsidRDefault="003F5EF1">
      <w:pPr>
        <w:pStyle w:val="Heading1"/>
      </w:pPr>
      <w:r>
        <w:rPr>
          <w:lang w:val="en-CA"/>
        </w:rPr>
        <w:t>Products</w:t>
      </w:r>
    </w:p>
    <w:p w:rsidR="003F5EF1" w:rsidRDefault="003F5EF1">
      <w:pPr>
        <w:pStyle w:val="SpecNote"/>
      </w:pPr>
      <w:r>
        <w:t xml:space="preserve">SPEC NOTE:  A context sensitive link to McGraw-Hill Construction's product information web site has been added to this NMS section by Spex.ca, as a publisher enhancement. To review potentially suitable products for use in this section, go to </w:t>
      </w:r>
      <w:hyperlink r:id="rId7" w:history="1">
        <w:r>
          <w:rPr>
            <w:rStyle w:val="Hyperlink"/>
          </w:rPr>
          <w:t>http://sweets.construction.com</w:t>
        </w:r>
      </w:hyperlink>
      <w:r>
        <w:t>. This link does not imply Spex.ca's nor PWGSC's endorsement of any information provided by McGraw-Hill, nor it's suitability for use.</w:t>
      </w:r>
    </w:p>
    <w:p w:rsidR="003F5EF1" w:rsidRDefault="003F5EF1">
      <w:pPr>
        <w:pStyle w:val="Heading2"/>
      </w:pPr>
      <w:r>
        <w:t>MATERIALS</w:t>
      </w:r>
    </w:p>
    <w:p w:rsidR="003F5EF1" w:rsidRDefault="003F5EF1">
      <w:pPr>
        <w:pStyle w:val="Heading3"/>
      </w:pPr>
      <w:r>
        <w:rPr>
          <w:szCs w:val="22"/>
          <w:lang w:val="en-CA"/>
        </w:rPr>
        <w:t>Folding partitions:</w:t>
      </w:r>
      <w:r w:rsidR="00976BBB">
        <w:rPr>
          <w:szCs w:val="22"/>
          <w:lang w:val="en-CA"/>
        </w:rPr>
        <w:t xml:space="preserve"> </w:t>
      </w:r>
      <w:proofErr w:type="spellStart"/>
      <w:r w:rsidR="00976BBB">
        <w:rPr>
          <w:szCs w:val="22"/>
          <w:lang w:val="en-CA"/>
        </w:rPr>
        <w:t>Modernfold</w:t>
      </w:r>
      <w:proofErr w:type="spellEnd"/>
      <w:r w:rsidR="00976BBB">
        <w:rPr>
          <w:szCs w:val="22"/>
          <w:lang w:val="en-CA"/>
        </w:rPr>
        <w:t xml:space="preserve"> 933 or approved equal.</w:t>
      </w:r>
    </w:p>
    <w:p w:rsidR="003F5EF1" w:rsidRDefault="003F5EF1" w:rsidP="00976BBB">
      <w:pPr>
        <w:pStyle w:val="SpecNoteEnv"/>
      </w:pPr>
      <w:r>
        <w:t>SPEC NOTE ENVIRONMENT:  Interior grade plywoods and particleboards are usually manufactured with urea formaldehyde based resins which are known to adversely effect indoor air quality. Formaldehyde is a known irritant and sensitizer.  The specification of exterior grade plywoods that are manufactured with phenol-based resins which are more stable will improve the indoor air quality of interior space.</w:t>
      </w:r>
    </w:p>
    <w:p w:rsidR="003F5EF1" w:rsidRDefault="003F5EF1">
      <w:pPr>
        <w:pStyle w:val="Heading3"/>
      </w:pPr>
      <w:r>
        <w:t>Vin</w:t>
      </w:r>
      <w:r w:rsidR="00976BBB">
        <w:t>yl-coated fabric covering from manufacturer's standard range</w:t>
      </w:r>
      <w:r>
        <w:t>.</w:t>
      </w:r>
    </w:p>
    <w:p w:rsidR="003F5EF1" w:rsidRDefault="003F5EF1">
      <w:pPr>
        <w:pStyle w:val="SpecNote"/>
      </w:pPr>
      <w:r>
        <w:t>SPEC NOTE:  Insert text from Section 09680 - Carpet.</w:t>
      </w:r>
    </w:p>
    <w:p w:rsidR="003F5EF1" w:rsidRDefault="003F5EF1">
      <w:pPr>
        <w:pStyle w:val="Heading2"/>
      </w:pPr>
      <w:r>
        <w:rPr>
          <w:lang w:val="en-CA"/>
        </w:rPr>
        <w:t>COMPONENTS</w:t>
      </w:r>
    </w:p>
    <w:p w:rsidR="003F5EF1" w:rsidRDefault="003F5EF1">
      <w:pPr>
        <w:pStyle w:val="SpecNote"/>
      </w:pPr>
      <w:r>
        <w:t>SPEC NOTE:  Sliding systems are acceptable for light duty doors only.</w:t>
      </w:r>
    </w:p>
    <w:p w:rsidR="003F5EF1" w:rsidRDefault="003F5EF1">
      <w:pPr>
        <w:pStyle w:val="Heading3"/>
      </w:pPr>
      <w:r>
        <w:t>Overhead suspension system.</w:t>
      </w:r>
    </w:p>
    <w:p w:rsidR="003F5EF1" w:rsidRDefault="003F5EF1">
      <w:pPr>
        <w:pStyle w:val="Heading4"/>
      </w:pPr>
      <w:r>
        <w:rPr>
          <w:szCs w:val="22"/>
          <w:lang w:val="en-CA"/>
        </w:rPr>
        <w:t>Track: manufacturer's standard channel housing designed to support partitions.</w:t>
      </w:r>
    </w:p>
    <w:p w:rsidR="003F5EF1" w:rsidRDefault="003F5EF1">
      <w:pPr>
        <w:pStyle w:val="Heading5"/>
      </w:pPr>
      <w:r>
        <w:rPr>
          <w:szCs w:val="22"/>
          <w:lang w:val="en-CA"/>
        </w:rPr>
        <w:t>Equip track with brackets for hanger attachment.</w:t>
      </w:r>
    </w:p>
    <w:p w:rsidR="003F5EF1" w:rsidRDefault="003F5EF1">
      <w:pPr>
        <w:pStyle w:val="Heading5"/>
      </w:pPr>
      <w:r>
        <w:t>Provide hangers and stabilizers.</w:t>
      </w:r>
    </w:p>
    <w:p w:rsidR="003F5EF1" w:rsidRDefault="003F5EF1">
      <w:pPr>
        <w:pStyle w:val="Heading4"/>
      </w:pPr>
      <w:r>
        <w:rPr>
          <w:szCs w:val="22"/>
          <w:lang w:val="en-CA"/>
        </w:rPr>
        <w:t>Trolley: steel wheels with ball bearings, equipped with thrust bearing and steel pendant bolt at each wheel assembly for height adjustment.</w:t>
      </w:r>
    </w:p>
    <w:p w:rsidR="003F5EF1" w:rsidRDefault="003F5EF1">
      <w:pPr>
        <w:pStyle w:val="Heading3"/>
      </w:pPr>
      <w:r>
        <w:rPr>
          <w:szCs w:val="22"/>
          <w:lang w:val="en-CA"/>
        </w:rPr>
        <w:t>Hardware.</w:t>
      </w:r>
    </w:p>
    <w:p w:rsidR="003F5EF1" w:rsidRDefault="003F5EF1">
      <w:pPr>
        <w:pStyle w:val="Heading4"/>
      </w:pPr>
      <w:r>
        <w:rPr>
          <w:szCs w:val="22"/>
          <w:lang w:val="en-CA"/>
        </w:rPr>
        <w:t>Equip partition with manufacturer's standard hardware. Hardware finish selected from manufacturer's standard finishes.</w:t>
      </w:r>
    </w:p>
    <w:p w:rsidR="003F5EF1" w:rsidRDefault="003F5EF1">
      <w:pPr>
        <w:pStyle w:val="SpecNote"/>
      </w:pPr>
      <w:r>
        <w:t>SPEC NOTE:  If using Masterkeyed Cylinder refer to Section 08715 - Cabinet and Miscellaneous Hardware. Delete masterkeyed latchset if not required.</w:t>
      </w:r>
    </w:p>
    <w:p w:rsidR="003F5EF1" w:rsidRDefault="003F5EF1">
      <w:pPr>
        <w:pStyle w:val="Heading3"/>
      </w:pPr>
      <w:r>
        <w:rPr>
          <w:szCs w:val="22"/>
          <w:lang w:val="en-CA"/>
        </w:rPr>
        <w:t>Sound seals.</w:t>
      </w:r>
    </w:p>
    <w:p w:rsidR="003F5EF1" w:rsidRDefault="003F5EF1">
      <w:pPr>
        <w:pStyle w:val="Heading4"/>
      </w:pPr>
      <w:r>
        <w:rPr>
          <w:szCs w:val="22"/>
          <w:lang w:val="en-CA"/>
        </w:rPr>
        <w:t>Provide  sound seals to manufacturer's standard.</w:t>
      </w:r>
    </w:p>
    <w:p w:rsidR="003F5EF1" w:rsidRDefault="003F5EF1">
      <w:pPr>
        <w:pStyle w:val="Heading4"/>
      </w:pPr>
      <w:r>
        <w:t>Use head and floor fixed sweep strip.</w:t>
      </w:r>
    </w:p>
    <w:p w:rsidR="003F5EF1" w:rsidRDefault="003F5EF1">
      <w:pPr>
        <w:pStyle w:val="Heading4"/>
      </w:pPr>
      <w:r>
        <w:t>Use manufacturer's standard astragal inserts for jamb and panel joint seal.</w:t>
      </w:r>
    </w:p>
    <w:p w:rsidR="003F5EF1" w:rsidRDefault="003F5EF1">
      <w:pPr>
        <w:pStyle w:val="Heading2"/>
      </w:pPr>
      <w:r>
        <w:rPr>
          <w:lang w:val="en-CA"/>
        </w:rPr>
        <w:t>ACCESSORIES</w:t>
      </w:r>
    </w:p>
    <w:p w:rsidR="003F5EF1" w:rsidRDefault="003F5EF1">
      <w:pPr>
        <w:pStyle w:val="Heading3"/>
      </w:pPr>
      <w:r>
        <w:rPr>
          <w:szCs w:val="22"/>
          <w:lang w:val="en-CA"/>
        </w:rPr>
        <w:t>Provide manufacturer's standard closure panel with lever operator.</w:t>
      </w:r>
    </w:p>
    <w:p w:rsidR="003F5EF1" w:rsidRDefault="003F5EF1">
      <w:pPr>
        <w:pStyle w:val="SpecNote"/>
      </w:pPr>
      <w:r>
        <w:t>SPEC NOTE:  Delete tackboard and chalkboard if specified as panel finish.</w:t>
      </w:r>
    </w:p>
    <w:p w:rsidR="003F5EF1" w:rsidRDefault="003F5EF1">
      <w:pPr>
        <w:pStyle w:val="SpecNote"/>
      </w:pPr>
      <w:r>
        <w:t>SPEC NOTE:  Include the following paragraph only when electrically operated partitions are specified and indicated.</w:t>
      </w:r>
    </w:p>
    <w:p w:rsidR="003F5EF1" w:rsidRDefault="003F5EF1">
      <w:pPr>
        <w:pStyle w:val="Heading1"/>
      </w:pPr>
      <w:r>
        <w:rPr>
          <w:lang w:val="en-CA"/>
        </w:rPr>
        <w:t>Execution</w:t>
      </w:r>
    </w:p>
    <w:p w:rsidR="003F5EF1" w:rsidRDefault="003F5EF1">
      <w:pPr>
        <w:pStyle w:val="Heading2"/>
      </w:pPr>
      <w:r>
        <w:rPr>
          <w:lang w:val="en-CA"/>
        </w:rPr>
        <w:t>INSTALLATION</w:t>
      </w:r>
    </w:p>
    <w:p w:rsidR="003F5EF1" w:rsidRDefault="003F5EF1">
      <w:pPr>
        <w:pStyle w:val="Heading3"/>
      </w:pPr>
      <w:r>
        <w:rPr>
          <w:szCs w:val="22"/>
          <w:lang w:val="en-CA"/>
        </w:rPr>
        <w:t>Secure and level track.</w:t>
      </w:r>
    </w:p>
    <w:p w:rsidR="003F5EF1" w:rsidRDefault="003F5EF1">
      <w:pPr>
        <w:pStyle w:val="Heading3"/>
      </w:pPr>
      <w:r>
        <w:t>Install folding partitions in accordance with manufacturer's printed instructions.</w:t>
      </w:r>
    </w:p>
    <w:p w:rsidR="003F5EF1" w:rsidRDefault="003F5EF1">
      <w:pPr>
        <w:pStyle w:val="Heading3"/>
      </w:pPr>
      <w:r>
        <w:t>Touch up damaged finishes, repair damage to partitions to match original finish.</w:t>
      </w:r>
    </w:p>
    <w:p w:rsidR="003F5EF1" w:rsidRDefault="003F5EF1">
      <w:pPr>
        <w:pStyle w:val="Heading3"/>
      </w:pPr>
      <w:r>
        <w:t>Clean folding partition system and protect from damage.</w:t>
      </w:r>
    </w:p>
    <w:p w:rsidR="003F5EF1" w:rsidRDefault="003F5EF1">
      <w:pPr>
        <w:pStyle w:val="Heading3"/>
      </w:pPr>
      <w:r>
        <w:t>Adjust and leave partitions in smooth operating condition.</w:t>
      </w:r>
    </w:p>
    <w:p w:rsidR="003F5EF1" w:rsidRDefault="003F5EF1">
      <w:pPr>
        <w:pStyle w:val="EndOfSection"/>
        <w:rPr>
          <w:lang w:val="en-CA"/>
        </w:rPr>
      </w:pPr>
      <w:r>
        <w:rPr>
          <w:lang w:val="en-CA"/>
        </w:rPr>
        <w:t>END OF SECTION</w:t>
      </w:r>
    </w:p>
    <w:sectPr w:rsidR="003F5EF1" w:rsidSect="00514F99">
      <w:headerReference w:type="default" r:id="rId8"/>
      <w:footnotePr>
        <w:numRestart w:val="eachPage"/>
      </w:footnotePr>
      <w:endnotePr>
        <w:numFmt w:val="decimal"/>
      </w:endnotePr>
      <w:type w:val="continuous"/>
      <w:pgSz w:w="12240" w:h="15840"/>
      <w:pgMar w:top="1378" w:right="1440" w:bottom="720" w:left="1440" w:header="72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15A" w:rsidRDefault="0036115A" w:rsidP="003F5EF1">
      <w:r>
        <w:separator/>
      </w:r>
    </w:p>
  </w:endnote>
  <w:endnote w:type="continuationSeparator" w:id="0">
    <w:p w:rsidR="0036115A" w:rsidRDefault="0036115A" w:rsidP="003F5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15A" w:rsidRDefault="0036115A" w:rsidP="003F5EF1">
      <w:r>
        <w:separator/>
      </w:r>
    </w:p>
  </w:footnote>
  <w:footnote w:type="continuationSeparator" w:id="0">
    <w:p w:rsidR="0036115A" w:rsidRDefault="0036115A" w:rsidP="003F5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F1" w:rsidRDefault="00CD4EE5" w:rsidP="00CD4EE5">
    <w:pPr>
      <w:pStyle w:val="Header"/>
      <w:tabs>
        <w:tab w:val="left" w:pos="5760"/>
      </w:tabs>
    </w:pPr>
    <w:r>
      <w:t>Nortrax</w:t>
    </w:r>
    <w:r w:rsidR="003F5EF1">
      <w:tab/>
      <w:t>Section 10</w:t>
    </w:r>
    <w:r w:rsidR="00976BBB">
      <w:t xml:space="preserve"> </w:t>
    </w:r>
    <w:r w:rsidR="003F5EF1">
      <w:t>65</w:t>
    </w:r>
    <w:r w:rsidR="00976BBB">
      <w:t xml:space="preserve"> 0</w:t>
    </w:r>
    <w:r w:rsidR="003F5EF1">
      <w:t>2</w:t>
    </w:r>
  </w:p>
  <w:p w:rsidR="003F5EF1" w:rsidRDefault="00B52625" w:rsidP="00CD4EE5">
    <w:pPr>
      <w:pStyle w:val="Header"/>
      <w:tabs>
        <w:tab w:val="left" w:pos="5760"/>
      </w:tabs>
    </w:pPr>
    <w:r>
      <w:rPr>
        <w:snapToGrid w:val="0"/>
        <w:sz w:val="24"/>
        <w:szCs w:val="24"/>
      </w:rPr>
      <w:t xml:space="preserve">190 David Manchester Road, Ottawa      </w:t>
    </w:r>
    <w:r w:rsidR="003F5EF1">
      <w:tab/>
      <w:t>FOLDING PANEL PARTITIONS</w:t>
    </w:r>
  </w:p>
  <w:p w:rsidR="003F5EF1" w:rsidRDefault="00B52625" w:rsidP="00CD4EE5">
    <w:pPr>
      <w:pStyle w:val="Header"/>
      <w:tabs>
        <w:tab w:val="left" w:pos="5760"/>
      </w:tabs>
    </w:pPr>
    <w:r>
      <w:t>16 May 2014</w:t>
    </w:r>
    <w:r w:rsidR="003F5EF1">
      <w:tab/>
      <w:t xml:space="preserve">Page </w:t>
    </w:r>
    <w:r w:rsidR="003F5EF1">
      <w:pgNum/>
    </w:r>
  </w:p>
  <w:p w:rsidR="003F5EF1" w:rsidRDefault="003F5E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8F40A92"/>
    <w:lvl w:ilvl="0">
      <w:start w:val="1"/>
      <w:numFmt w:val="decimal"/>
      <w:lvlText w:val="%1"/>
      <w:legacy w:legacy="1" w:legacySpace="605" w:legacyIndent="0"/>
      <w:lvlJc w:val="left"/>
      <w:pPr>
        <w:ind w:left="0" w:firstLine="0"/>
      </w:pPr>
    </w:lvl>
    <w:lvl w:ilvl="1">
      <w:start w:val="1"/>
      <w:numFmt w:val="decimal"/>
      <w:lvlText w:val="%1.%2"/>
      <w:legacy w:legacy="1" w:legacySpace="0" w:legacyIndent="720"/>
      <w:lvlJc w:val="left"/>
      <w:pPr>
        <w:ind w:left="720" w:hanging="720"/>
      </w:pPr>
    </w:lvl>
    <w:lvl w:ilvl="2">
      <w:start w:val="1"/>
      <w:numFmt w:val="upperLetter"/>
      <w:lvlText w:val="%3."/>
      <w:legacy w:legacy="1" w:legacySpace="0" w:legacyIndent="720"/>
      <w:lvlJc w:val="left"/>
      <w:pPr>
        <w:ind w:left="1440" w:hanging="720"/>
      </w:pPr>
    </w:lvl>
    <w:lvl w:ilvl="3">
      <w:start w:val="1"/>
      <w:numFmt w:val="decimal"/>
      <w:lvlText w:val="%4."/>
      <w:legacy w:legacy="1" w:legacySpace="0" w:legacyIndent="720"/>
      <w:lvlJc w:val="left"/>
      <w:pPr>
        <w:ind w:left="2160" w:hanging="720"/>
      </w:pPr>
    </w:lvl>
    <w:lvl w:ilvl="4">
      <w:start w:val="1"/>
      <w:numFmt w:val="lowerLetter"/>
      <w:lvlText w:val="%5)"/>
      <w:legacy w:legacy="1" w:legacySpace="0" w:legacyIndent="720"/>
      <w:lvlJc w:val="left"/>
      <w:pPr>
        <w:ind w:left="2880" w:hanging="720"/>
      </w:pPr>
    </w:lvl>
    <w:lvl w:ilvl="5">
      <w:start w:val="1"/>
      <w:numFmt w:val="decimal"/>
      <w:lvlText w:val="%6)"/>
      <w:legacy w:legacy="1" w:legacySpace="0" w:legacyIndent="720"/>
      <w:lvlJc w:val="left"/>
      <w:pPr>
        <w:ind w:left="3600" w:hanging="720"/>
      </w:pPr>
    </w:lvl>
    <w:lvl w:ilvl="6">
      <w:start w:val="1"/>
      <w:numFmt w:val="none"/>
      <w:suff w:val="nothing"/>
      <w:lvlText w:val=""/>
      <w:lvlJc w:val="left"/>
      <w:pPr>
        <w:ind w:left="4320" w:hanging="720"/>
      </w:pPr>
    </w:lvl>
    <w:lvl w:ilvl="7">
      <w:start w:val="1"/>
      <w:numFmt w:val="none"/>
      <w:suff w:val="nothing"/>
      <w:lvlText w:val=""/>
      <w:lvlJc w:val="left"/>
      <w:pPr>
        <w:ind w:left="5040" w:hanging="720"/>
      </w:pPr>
    </w:lvl>
    <w:lvl w:ilvl="8">
      <w:start w:val="1"/>
      <w:numFmt w:val="none"/>
      <w:suff w:val="nothing"/>
      <w:lvlText w:val=""/>
      <w:lvlJc w:val="left"/>
      <w:pPr>
        <w:ind w:left="5760" w:hanging="720"/>
      </w:pPr>
    </w:lvl>
  </w:abstractNum>
  <w:abstractNum w:abstractNumId="1">
    <w:nsid w:val="03FA4AFA"/>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2">
    <w:nsid w:val="0C100413"/>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3">
    <w:nsid w:val="143C785F"/>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4">
    <w:nsid w:val="22E96D37"/>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5">
    <w:nsid w:val="25DF2551"/>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6">
    <w:nsid w:val="26890B4D"/>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7">
    <w:nsid w:val="26FD7FA9"/>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8">
    <w:nsid w:val="27297C48"/>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9">
    <w:nsid w:val="280D2BA8"/>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0">
    <w:nsid w:val="280D4683"/>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1">
    <w:nsid w:val="28B73B89"/>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2">
    <w:nsid w:val="2A30341D"/>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3">
    <w:nsid w:val="2A3A2F69"/>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4">
    <w:nsid w:val="2A6B7C65"/>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5">
    <w:nsid w:val="30823425"/>
    <w:multiLevelType w:val="multilevel"/>
    <w:tmpl w:val="8042E432"/>
    <w:lvl w:ilvl="0">
      <w:start w:val="1"/>
      <w:numFmt w:val="decimal"/>
      <w:lvlRestart w:val="0"/>
      <w:pStyle w:val="Heading1"/>
      <w:lvlText w:val="Part %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3"/>
      <w:lvlJc w:val="left"/>
      <w:pPr>
        <w:tabs>
          <w:tab w:val="num" w:pos="1440"/>
        </w:tabs>
        <w:ind w:left="1440" w:hanging="720"/>
      </w:pPr>
    </w:lvl>
    <w:lvl w:ilvl="3">
      <w:start w:val="1"/>
      <w:numFmt w:val="decimal"/>
      <w:pStyle w:val="Heading4"/>
      <w:lvlText w:val=".%4"/>
      <w:lvlJc w:val="left"/>
      <w:pPr>
        <w:tabs>
          <w:tab w:val="num" w:pos="2160"/>
        </w:tabs>
        <w:ind w:left="2160" w:hanging="720"/>
      </w:pPr>
    </w:lvl>
    <w:lvl w:ilvl="4">
      <w:start w:val="1"/>
      <w:numFmt w:val="decimal"/>
      <w:pStyle w:val="Heading5"/>
      <w:lvlText w:val=".%5"/>
      <w:lvlJc w:val="left"/>
      <w:pPr>
        <w:tabs>
          <w:tab w:val="num" w:pos="2880"/>
        </w:tabs>
        <w:ind w:left="2880" w:hanging="720"/>
      </w:pPr>
    </w:lvl>
    <w:lvl w:ilvl="5">
      <w:start w:val="1"/>
      <w:numFmt w:val="decimal"/>
      <w:pStyle w:val="Heading6"/>
      <w:lvlText w:val=".%6"/>
      <w:lvlJc w:val="left"/>
      <w:pPr>
        <w:tabs>
          <w:tab w:val="num" w:pos="3600"/>
        </w:tabs>
        <w:ind w:left="3600" w:hanging="720"/>
      </w:pPr>
    </w:lvl>
    <w:lvl w:ilvl="6">
      <w:start w:val="1"/>
      <w:numFmt w:val="decimal"/>
      <w:pStyle w:val="Heading7"/>
      <w:lvlText w:val=".%7"/>
      <w:lvlJc w:val="left"/>
      <w:pPr>
        <w:tabs>
          <w:tab w:val="num" w:pos="4320"/>
        </w:tabs>
        <w:ind w:left="4320" w:hanging="720"/>
      </w:pPr>
    </w:lvl>
    <w:lvl w:ilvl="7">
      <w:start w:val="1"/>
      <w:numFmt w:val="decimal"/>
      <w:pStyle w:val="Heading8"/>
      <w:lvlText w:val=".%8"/>
      <w:lvlJc w:val="left"/>
      <w:pPr>
        <w:tabs>
          <w:tab w:val="num" w:pos="5040"/>
        </w:tabs>
        <w:ind w:left="5040" w:hanging="720"/>
      </w:pPr>
    </w:lvl>
    <w:lvl w:ilvl="8">
      <w:start w:val="1"/>
      <w:numFmt w:val="decimal"/>
      <w:pStyle w:val="Heading9"/>
      <w:lvlText w:val=".%9"/>
      <w:lvlJc w:val="left"/>
      <w:pPr>
        <w:tabs>
          <w:tab w:val="num" w:pos="5760"/>
        </w:tabs>
        <w:ind w:left="5760" w:hanging="720"/>
      </w:pPr>
    </w:lvl>
  </w:abstractNum>
  <w:abstractNum w:abstractNumId="16">
    <w:nsid w:val="36AE5EF1"/>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7">
    <w:nsid w:val="38096259"/>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8">
    <w:nsid w:val="41440FC7"/>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9">
    <w:nsid w:val="4DD654B0"/>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20">
    <w:nsid w:val="51031ACD"/>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21">
    <w:nsid w:val="59A37BDF"/>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22">
    <w:nsid w:val="61177E00"/>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23">
    <w:nsid w:val="67880AF3"/>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24">
    <w:nsid w:val="68415E0F"/>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25">
    <w:nsid w:val="6E1A3AFD"/>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26">
    <w:nsid w:val="6F1F49B9"/>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27">
    <w:nsid w:val="72556916"/>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28">
    <w:nsid w:val="73526C2B"/>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29">
    <w:nsid w:val="7A4F7529"/>
    <w:multiLevelType w:val="multilevel"/>
    <w:tmpl w:val="4D50452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num w:numId="1">
    <w:abstractNumId w:val="4"/>
  </w:num>
  <w:num w:numId="2">
    <w:abstractNumId w:val="11"/>
  </w:num>
  <w:num w:numId="3">
    <w:abstractNumId w:val="1"/>
  </w:num>
  <w:num w:numId="4">
    <w:abstractNumId w:val="26"/>
  </w:num>
  <w:num w:numId="5">
    <w:abstractNumId w:val="16"/>
  </w:num>
  <w:num w:numId="6">
    <w:abstractNumId w:val="20"/>
  </w:num>
  <w:num w:numId="7">
    <w:abstractNumId w:val="28"/>
  </w:num>
  <w:num w:numId="8">
    <w:abstractNumId w:val="19"/>
  </w:num>
  <w:num w:numId="9">
    <w:abstractNumId w:val="12"/>
  </w:num>
  <w:num w:numId="10">
    <w:abstractNumId w:val="25"/>
  </w:num>
  <w:num w:numId="11">
    <w:abstractNumId w:val="7"/>
  </w:num>
  <w:num w:numId="12">
    <w:abstractNumId w:val="3"/>
  </w:num>
  <w:num w:numId="13">
    <w:abstractNumId w:val="21"/>
  </w:num>
  <w:num w:numId="14">
    <w:abstractNumId w:val="22"/>
  </w:num>
  <w:num w:numId="15">
    <w:abstractNumId w:val="18"/>
  </w:num>
  <w:num w:numId="16">
    <w:abstractNumId w:val="6"/>
  </w:num>
  <w:num w:numId="17">
    <w:abstractNumId w:val="13"/>
  </w:num>
  <w:num w:numId="18">
    <w:abstractNumId w:val="9"/>
  </w:num>
  <w:num w:numId="19">
    <w:abstractNumId w:val="23"/>
  </w:num>
  <w:num w:numId="20">
    <w:abstractNumId w:val="27"/>
  </w:num>
  <w:num w:numId="21">
    <w:abstractNumId w:val="0"/>
  </w:num>
  <w:num w:numId="22">
    <w:abstractNumId w:val="15"/>
  </w:num>
  <w:num w:numId="23">
    <w:abstractNumId w:val="14"/>
  </w:num>
  <w:num w:numId="24">
    <w:abstractNumId w:val="5"/>
  </w:num>
  <w:num w:numId="25">
    <w:abstractNumId w:val="24"/>
  </w:num>
  <w:num w:numId="26">
    <w:abstractNumId w:val="10"/>
  </w:num>
  <w:num w:numId="27">
    <w:abstractNumId w:val="17"/>
  </w:num>
  <w:num w:numId="28">
    <w:abstractNumId w:val="29"/>
  </w:num>
  <w:num w:numId="29">
    <w:abstractNumId w:val="2"/>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rsids>
    <w:rsidRoot w:val="00884164"/>
    <w:rsid w:val="00243F6F"/>
    <w:rsid w:val="0036115A"/>
    <w:rsid w:val="003F5EF1"/>
    <w:rsid w:val="00514F99"/>
    <w:rsid w:val="00590B28"/>
    <w:rsid w:val="00861BEF"/>
    <w:rsid w:val="00884164"/>
    <w:rsid w:val="00976BBB"/>
    <w:rsid w:val="00B52625"/>
    <w:rsid w:val="00BB2C7A"/>
    <w:rsid w:val="00CD4EE5"/>
    <w:rsid w:val="00E85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F99"/>
    <w:rPr>
      <w:sz w:val="22"/>
      <w:lang w:val="en-US" w:eastAsia="en-US"/>
    </w:rPr>
  </w:style>
  <w:style w:type="paragraph" w:styleId="Heading1">
    <w:name w:val="heading 1"/>
    <w:basedOn w:val="Normal"/>
    <w:next w:val="Heading2"/>
    <w:qFormat/>
    <w:rsid w:val="00514F99"/>
    <w:pPr>
      <w:keepNext/>
      <w:numPr>
        <w:numId w:val="22"/>
      </w:numPr>
      <w:spacing w:before="480"/>
      <w:outlineLvl w:val="0"/>
    </w:pPr>
    <w:rPr>
      <w:b/>
    </w:rPr>
  </w:style>
  <w:style w:type="paragraph" w:styleId="Heading2">
    <w:name w:val="heading 2"/>
    <w:basedOn w:val="Normal"/>
    <w:next w:val="Heading3"/>
    <w:qFormat/>
    <w:rsid w:val="00514F99"/>
    <w:pPr>
      <w:keepNext/>
      <w:numPr>
        <w:ilvl w:val="1"/>
        <w:numId w:val="22"/>
      </w:numPr>
      <w:spacing w:before="240"/>
      <w:outlineLvl w:val="1"/>
    </w:pPr>
    <w:rPr>
      <w:b/>
    </w:rPr>
  </w:style>
  <w:style w:type="paragraph" w:styleId="Heading3">
    <w:name w:val="heading 3"/>
    <w:basedOn w:val="Normal"/>
    <w:qFormat/>
    <w:rsid w:val="00514F99"/>
    <w:pPr>
      <w:numPr>
        <w:ilvl w:val="2"/>
        <w:numId w:val="22"/>
      </w:numPr>
      <w:spacing w:before="120" w:after="120"/>
      <w:outlineLvl w:val="2"/>
    </w:pPr>
  </w:style>
  <w:style w:type="paragraph" w:styleId="Heading4">
    <w:name w:val="heading 4"/>
    <w:basedOn w:val="Normal"/>
    <w:qFormat/>
    <w:rsid w:val="00514F99"/>
    <w:pPr>
      <w:numPr>
        <w:ilvl w:val="3"/>
        <w:numId w:val="22"/>
      </w:numPr>
      <w:spacing w:before="60"/>
      <w:outlineLvl w:val="3"/>
    </w:pPr>
  </w:style>
  <w:style w:type="paragraph" w:styleId="Heading5">
    <w:name w:val="heading 5"/>
    <w:basedOn w:val="Normal"/>
    <w:qFormat/>
    <w:rsid w:val="00514F99"/>
    <w:pPr>
      <w:numPr>
        <w:ilvl w:val="4"/>
        <w:numId w:val="22"/>
      </w:numPr>
      <w:spacing w:before="60"/>
      <w:outlineLvl w:val="4"/>
    </w:pPr>
  </w:style>
  <w:style w:type="paragraph" w:styleId="Heading6">
    <w:name w:val="heading 6"/>
    <w:basedOn w:val="Normal"/>
    <w:qFormat/>
    <w:rsid w:val="00514F99"/>
    <w:pPr>
      <w:numPr>
        <w:ilvl w:val="5"/>
        <w:numId w:val="22"/>
      </w:numPr>
      <w:spacing w:before="60"/>
      <w:outlineLvl w:val="5"/>
    </w:pPr>
  </w:style>
  <w:style w:type="paragraph" w:styleId="Heading7">
    <w:name w:val="heading 7"/>
    <w:basedOn w:val="Normal"/>
    <w:qFormat/>
    <w:rsid w:val="00514F99"/>
    <w:pPr>
      <w:numPr>
        <w:ilvl w:val="6"/>
        <w:numId w:val="22"/>
      </w:numPr>
      <w:spacing w:before="60"/>
      <w:outlineLvl w:val="6"/>
    </w:pPr>
    <w:rPr>
      <w:rFonts w:ascii="Arial" w:hAnsi="Arial"/>
    </w:rPr>
  </w:style>
  <w:style w:type="paragraph" w:styleId="Heading8">
    <w:name w:val="heading 8"/>
    <w:basedOn w:val="Normal"/>
    <w:qFormat/>
    <w:rsid w:val="00514F99"/>
    <w:pPr>
      <w:numPr>
        <w:ilvl w:val="7"/>
        <w:numId w:val="22"/>
      </w:numPr>
      <w:spacing w:before="60"/>
      <w:outlineLvl w:val="7"/>
    </w:pPr>
  </w:style>
  <w:style w:type="paragraph" w:styleId="Heading9">
    <w:name w:val="heading 9"/>
    <w:basedOn w:val="Normal"/>
    <w:qFormat/>
    <w:rsid w:val="00514F99"/>
    <w:pPr>
      <w:numPr>
        <w:ilvl w:val="8"/>
        <w:numId w:val="22"/>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9">
    <w:name w:val="Level 9"/>
    <w:rsid w:val="00514F99"/>
    <w:pPr>
      <w:widowControl w:val="0"/>
      <w:autoSpaceDE w:val="0"/>
      <w:autoSpaceDN w:val="0"/>
      <w:adjustRightInd w:val="0"/>
      <w:ind w:left="6480"/>
      <w:jc w:val="both"/>
    </w:pPr>
    <w:rPr>
      <w:sz w:val="24"/>
      <w:szCs w:val="24"/>
      <w:lang w:eastAsia="en-US"/>
    </w:rPr>
  </w:style>
  <w:style w:type="paragraph" w:customStyle="1" w:styleId="Level1">
    <w:name w:val="Level 1"/>
    <w:rsid w:val="00514F99"/>
    <w:pPr>
      <w:widowControl w:val="0"/>
      <w:autoSpaceDE w:val="0"/>
      <w:autoSpaceDN w:val="0"/>
      <w:adjustRightInd w:val="0"/>
      <w:ind w:left="720"/>
      <w:jc w:val="both"/>
    </w:pPr>
    <w:rPr>
      <w:sz w:val="24"/>
      <w:szCs w:val="24"/>
      <w:lang w:eastAsia="en-US"/>
    </w:rPr>
  </w:style>
  <w:style w:type="paragraph" w:customStyle="1" w:styleId="Level2">
    <w:name w:val="Level 2"/>
    <w:rsid w:val="00514F99"/>
    <w:pPr>
      <w:widowControl w:val="0"/>
      <w:autoSpaceDE w:val="0"/>
      <w:autoSpaceDN w:val="0"/>
      <w:adjustRightInd w:val="0"/>
      <w:ind w:left="1440"/>
      <w:jc w:val="both"/>
    </w:pPr>
    <w:rPr>
      <w:sz w:val="24"/>
      <w:szCs w:val="24"/>
      <w:lang w:eastAsia="en-US"/>
    </w:rPr>
  </w:style>
  <w:style w:type="paragraph" w:customStyle="1" w:styleId="Level3">
    <w:name w:val="Level 3"/>
    <w:rsid w:val="00514F99"/>
    <w:pPr>
      <w:widowControl w:val="0"/>
      <w:autoSpaceDE w:val="0"/>
      <w:autoSpaceDN w:val="0"/>
      <w:adjustRightInd w:val="0"/>
      <w:ind w:left="2160"/>
      <w:jc w:val="both"/>
    </w:pPr>
    <w:rPr>
      <w:sz w:val="24"/>
      <w:szCs w:val="24"/>
      <w:lang w:eastAsia="en-US"/>
    </w:rPr>
  </w:style>
  <w:style w:type="paragraph" w:customStyle="1" w:styleId="Level4">
    <w:name w:val="Level 4"/>
    <w:rsid w:val="00514F99"/>
    <w:pPr>
      <w:widowControl w:val="0"/>
      <w:autoSpaceDE w:val="0"/>
      <w:autoSpaceDN w:val="0"/>
      <w:adjustRightInd w:val="0"/>
      <w:ind w:left="2880"/>
      <w:jc w:val="both"/>
    </w:pPr>
    <w:rPr>
      <w:sz w:val="24"/>
      <w:szCs w:val="24"/>
      <w:lang w:eastAsia="en-US"/>
    </w:rPr>
  </w:style>
  <w:style w:type="paragraph" w:customStyle="1" w:styleId="Level5">
    <w:name w:val="Level 5"/>
    <w:rsid w:val="00514F99"/>
    <w:pPr>
      <w:widowControl w:val="0"/>
      <w:autoSpaceDE w:val="0"/>
      <w:autoSpaceDN w:val="0"/>
      <w:adjustRightInd w:val="0"/>
      <w:ind w:left="3600"/>
      <w:jc w:val="both"/>
    </w:pPr>
    <w:rPr>
      <w:sz w:val="24"/>
      <w:szCs w:val="24"/>
      <w:lang w:eastAsia="en-US"/>
    </w:rPr>
  </w:style>
  <w:style w:type="paragraph" w:customStyle="1" w:styleId="Level6">
    <w:name w:val="Level 6"/>
    <w:rsid w:val="00514F99"/>
    <w:pPr>
      <w:widowControl w:val="0"/>
      <w:autoSpaceDE w:val="0"/>
      <w:autoSpaceDN w:val="0"/>
      <w:adjustRightInd w:val="0"/>
      <w:ind w:left="4320"/>
      <w:jc w:val="both"/>
    </w:pPr>
    <w:rPr>
      <w:sz w:val="24"/>
      <w:szCs w:val="24"/>
      <w:lang w:eastAsia="en-US"/>
    </w:rPr>
  </w:style>
  <w:style w:type="paragraph" w:customStyle="1" w:styleId="Level7">
    <w:name w:val="Level 7"/>
    <w:rsid w:val="00514F99"/>
    <w:pPr>
      <w:widowControl w:val="0"/>
      <w:autoSpaceDE w:val="0"/>
      <w:autoSpaceDN w:val="0"/>
      <w:adjustRightInd w:val="0"/>
      <w:ind w:left="5040"/>
      <w:jc w:val="both"/>
    </w:pPr>
    <w:rPr>
      <w:sz w:val="24"/>
      <w:szCs w:val="24"/>
      <w:lang w:eastAsia="en-US"/>
    </w:rPr>
  </w:style>
  <w:style w:type="paragraph" w:customStyle="1" w:styleId="Level8">
    <w:name w:val="Level 8"/>
    <w:rsid w:val="00514F99"/>
    <w:pPr>
      <w:widowControl w:val="0"/>
      <w:autoSpaceDE w:val="0"/>
      <w:autoSpaceDN w:val="0"/>
      <w:adjustRightInd w:val="0"/>
      <w:ind w:left="5760"/>
      <w:jc w:val="both"/>
    </w:pPr>
    <w:rPr>
      <w:sz w:val="24"/>
      <w:szCs w:val="24"/>
      <w:lang w:eastAsia="en-US"/>
    </w:rPr>
  </w:style>
  <w:style w:type="paragraph" w:customStyle="1" w:styleId="Level91">
    <w:name w:val="Level 91"/>
    <w:rsid w:val="00514F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b/>
      <w:bCs/>
      <w:sz w:val="24"/>
      <w:szCs w:val="24"/>
      <w:lang w:eastAsia="en-US"/>
    </w:rPr>
  </w:style>
  <w:style w:type="paragraph" w:customStyle="1" w:styleId="OR">
    <w:name w:val="[OR]"/>
    <w:basedOn w:val="Normal"/>
    <w:rsid w:val="00514F99"/>
    <w:pPr>
      <w:keepNext/>
      <w:jc w:val="center"/>
    </w:pPr>
    <w:rPr>
      <w:rFonts w:ascii="Arial" w:hAnsi="Arial"/>
      <w:color w:val="FF0000"/>
    </w:rPr>
  </w:style>
  <w:style w:type="character" w:customStyle="1" w:styleId="IP">
    <w:name w:val="IP"/>
    <w:rsid w:val="00514F99"/>
  </w:style>
  <w:style w:type="character" w:customStyle="1" w:styleId="SI">
    <w:name w:val="SI"/>
    <w:rsid w:val="00514F99"/>
  </w:style>
  <w:style w:type="paragraph" w:customStyle="1" w:styleId="SpecNote">
    <w:name w:val="SpecNote"/>
    <w:basedOn w:val="Normal"/>
    <w:rsid w:val="00514F99"/>
    <w:pPr>
      <w:pBdr>
        <w:top w:val="double" w:sz="6" w:space="1" w:color="0080FF"/>
        <w:left w:val="double" w:sz="6" w:space="1" w:color="0080FF"/>
        <w:bottom w:val="double" w:sz="6" w:space="1" w:color="0080FF"/>
        <w:right w:val="double" w:sz="6" w:space="1" w:color="0080FF"/>
      </w:pBdr>
    </w:pPr>
    <w:rPr>
      <w:i/>
      <w:vanish/>
      <w:color w:val="0080FF"/>
      <w:szCs w:val="22"/>
    </w:rPr>
  </w:style>
  <w:style w:type="paragraph" w:customStyle="1" w:styleId="SpecNoteEnv">
    <w:name w:val="SpecNoteEnv"/>
    <w:basedOn w:val="SpecNote"/>
    <w:rsid w:val="00514F99"/>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lang w:val="en-CA"/>
    </w:rPr>
  </w:style>
  <w:style w:type="paragraph" w:customStyle="1" w:styleId="EndOfSection">
    <w:name w:val="EndOfSection"/>
    <w:basedOn w:val="Normal"/>
    <w:rsid w:val="00514F99"/>
    <w:pPr>
      <w:spacing w:before="600"/>
      <w:jc w:val="center"/>
    </w:pPr>
    <w:rPr>
      <w:b/>
    </w:rPr>
  </w:style>
  <w:style w:type="paragraph" w:customStyle="1" w:styleId="Level11">
    <w:name w:val="Level 11"/>
    <w:rsid w:val="00514F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Level21">
    <w:name w:val="Level 21"/>
    <w:rsid w:val="00514F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Level31">
    <w:name w:val="Level 31"/>
    <w:rsid w:val="00514F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Level41">
    <w:name w:val="Level 41"/>
    <w:rsid w:val="00514F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Level51">
    <w:name w:val="Level 51"/>
    <w:rsid w:val="00514F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Level61">
    <w:name w:val="Level 61"/>
    <w:rsid w:val="00514F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Level71">
    <w:name w:val="Level 71"/>
    <w:rsid w:val="00514F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Level81">
    <w:name w:val="Level 81"/>
    <w:rsid w:val="00514F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character" w:customStyle="1" w:styleId="SYSHYPERTEXT">
    <w:name w:val="SYS_HYPERTEXT"/>
    <w:rsid w:val="00514F99"/>
    <w:rPr>
      <w:color w:val="0000FF"/>
      <w:u w:val="single"/>
    </w:rPr>
  </w:style>
  <w:style w:type="paragraph" w:customStyle="1" w:styleId="CSITitle">
    <w:name w:val="CSITitle"/>
    <w:basedOn w:val="Normal"/>
    <w:rsid w:val="00514F99"/>
    <w:pPr>
      <w:spacing w:line="480" w:lineRule="auto"/>
      <w:jc w:val="center"/>
    </w:pPr>
    <w:rPr>
      <w:b/>
    </w:rPr>
  </w:style>
  <w:style w:type="paragraph" w:customStyle="1" w:styleId="Report1">
    <w:name w:val="Report 1"/>
    <w:basedOn w:val="Normal"/>
    <w:autoRedefine/>
    <w:rsid w:val="00514F99"/>
  </w:style>
  <w:style w:type="paragraph" w:styleId="Footer">
    <w:name w:val="footer"/>
    <w:basedOn w:val="Normal"/>
    <w:semiHidden/>
    <w:rsid w:val="00514F99"/>
    <w:pPr>
      <w:tabs>
        <w:tab w:val="left" w:pos="4680"/>
        <w:tab w:val="right" w:pos="9360"/>
      </w:tabs>
    </w:pPr>
  </w:style>
  <w:style w:type="paragraph" w:styleId="Header">
    <w:name w:val="header"/>
    <w:basedOn w:val="Normal"/>
    <w:semiHidden/>
    <w:rsid w:val="00514F99"/>
    <w:pPr>
      <w:tabs>
        <w:tab w:val="right" w:pos="9360"/>
      </w:tabs>
    </w:pPr>
  </w:style>
  <w:style w:type="character" w:customStyle="1" w:styleId="Highlight">
    <w:name w:val="Highlight"/>
    <w:basedOn w:val="DefaultParagraphFont"/>
    <w:rsid w:val="00514F99"/>
    <w:rPr>
      <w:color w:val="00FF00"/>
      <w:u w:val="single"/>
    </w:rPr>
  </w:style>
  <w:style w:type="paragraph" w:customStyle="1" w:styleId="Report2">
    <w:name w:val="Report 2"/>
    <w:basedOn w:val="Report1"/>
    <w:autoRedefine/>
    <w:rsid w:val="00514F99"/>
    <w:pPr>
      <w:tabs>
        <w:tab w:val="left" w:pos="720"/>
      </w:tabs>
    </w:pPr>
  </w:style>
  <w:style w:type="character" w:styleId="Hyperlink">
    <w:name w:val="Hyperlink"/>
    <w:basedOn w:val="DefaultParagraphFont"/>
    <w:semiHidden/>
    <w:rsid w:val="00514F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ets.construction.com/index/xref.htm?specname=NMS&amp;sectionid=106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Word97\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Digicon.Dot</Template>
  <TotalTime>1</TotalTime>
  <Pages>2</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Folding Panel Partitions</vt:lpstr>
    </vt:vector>
  </TitlesOfParts>
  <Company>Digicon Information Inc.</Company>
  <LinksUpToDate>false</LinksUpToDate>
  <CharactersWithSpaces>5607</CharactersWithSpaces>
  <SharedDoc>false</SharedDoc>
  <HLinks>
    <vt:vector size="6" baseType="variant">
      <vt:variant>
        <vt:i4>2228328</vt:i4>
      </vt:variant>
      <vt:variant>
        <vt:i4>0</vt:i4>
      </vt:variant>
      <vt:variant>
        <vt:i4>0</vt:i4>
      </vt:variant>
      <vt:variant>
        <vt:i4>5</vt:i4>
      </vt:variant>
      <vt:variant>
        <vt:lpwstr>http://sweets.construction.com/index/xref.htm?specname=NMS&amp;sectionid=10652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Folding Panel Partitions</dc:title>
  <dc:subject>Copyright PWGSC - 2003, All rights reserved.</dc:subject>
  <dc:creator>Digicon Information Inc.</dc:creator>
  <cp:keywords>10652</cp:keywords>
  <cp:lastModifiedBy>StormTrooper</cp:lastModifiedBy>
  <cp:revision>4</cp:revision>
  <dcterms:created xsi:type="dcterms:W3CDTF">2012-02-12T20:22:00Z</dcterms:created>
  <dcterms:modified xsi:type="dcterms:W3CDTF">2014-05-15T12:58:00Z</dcterms:modified>
</cp:coreProperties>
</file>